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6B221" w14:textId="77777777" w:rsidR="00CF1A40" w:rsidRPr="008C7800" w:rsidRDefault="00CF1A40" w:rsidP="00CF1A4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C7800">
        <w:rPr>
          <w:rFonts w:ascii="Times New Roman" w:hAnsi="Times New Roman" w:cs="Times New Roman"/>
          <w:caps/>
        </w:rPr>
        <w:t>INFORMALISÉ Engagement</w:t>
      </w:r>
    </w:p>
    <w:p w14:paraId="2CAC7887" w14:textId="77777777" w:rsidR="00CF1A40" w:rsidRPr="008C7800" w:rsidRDefault="00CF1A40" w:rsidP="00CF1A40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C7800">
        <w:rPr>
          <w:rFonts w:ascii="Times New Roman" w:hAnsi="Times New Roman" w:cs="Times New Roman"/>
          <w:caps/>
        </w:rPr>
        <w:t xml:space="preserve"> dans des activités économiques, commerciales, financières ou professionnelles :</w:t>
      </w:r>
    </w:p>
    <w:p w14:paraId="6F989307" w14:textId="77777777" w:rsidR="00CF1A40" w:rsidRPr="008C7800" w:rsidRDefault="00CF1A40" w:rsidP="00780E4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C7800">
        <w:rPr>
          <w:rFonts w:ascii="Times New Roman" w:hAnsi="Times New Roman" w:cs="Times New Roman"/>
          <w:caps/>
        </w:rPr>
        <w:t>QUELLE RESPONSABILITÉ APPLIQUER ?</w:t>
      </w:r>
    </w:p>
    <w:p w14:paraId="4B4D7864" w14:textId="77777777" w:rsidR="00CF1A40" w:rsidRPr="008C7800" w:rsidRDefault="00CF1A40" w:rsidP="00780E4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14:paraId="7610701D" w14:textId="77777777" w:rsidR="00780E46" w:rsidRPr="008C7800" w:rsidRDefault="00780E46" w:rsidP="00780E46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8C7800">
        <w:rPr>
          <w:rFonts w:ascii="Times New Roman" w:hAnsi="Times New Roman" w:cs="Times New Roman"/>
          <w:caps/>
        </w:rPr>
        <w:t>Le questionnaire</w:t>
      </w:r>
    </w:p>
    <w:p w14:paraId="6FA9F5EE" w14:textId="77777777" w:rsidR="00CF1A40" w:rsidRPr="008C7800" w:rsidRDefault="00CF1A40" w:rsidP="00780E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4C8CCA" w14:textId="2B00258B" w:rsidR="00780E46" w:rsidRPr="008C7800" w:rsidRDefault="00BE3008" w:rsidP="00BE300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>Le chapitre XXXI (</w:t>
      </w:r>
      <w:r w:rsidR="008C7800">
        <w:rPr>
          <w:rFonts w:ascii="Times New Roman" w:hAnsi="Times New Roman" w:cs="Times New Roman"/>
        </w:rPr>
        <w:t>« </w:t>
      </w:r>
      <w:r w:rsidRPr="008C7800">
        <w:rPr>
          <w:rFonts w:ascii="Times New Roman" w:hAnsi="Times New Roman" w:cs="Times New Roman"/>
        </w:rPr>
        <w:t>Crimes et délits contre 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économie et 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ordre des affaires</w:t>
      </w:r>
      <w:r w:rsidR="008C7800">
        <w:rPr>
          <w:rFonts w:ascii="Times New Roman" w:hAnsi="Times New Roman" w:cs="Times New Roman"/>
        </w:rPr>
        <w:t> »</w:t>
      </w:r>
      <w:r w:rsidRPr="008C7800">
        <w:rPr>
          <w:rFonts w:ascii="Times New Roman" w:hAnsi="Times New Roman" w:cs="Times New Roman"/>
        </w:rPr>
        <w:t>) du code pénal de la République de Lituanie</w:t>
      </w:r>
      <w:r w:rsidRPr="008C7800">
        <w:rPr>
          <w:rStyle w:val="FootnoteReference"/>
          <w:rFonts w:ascii="Times New Roman" w:hAnsi="Times New Roman" w:cs="Times New Roman"/>
        </w:rPr>
        <w:footnoteReference w:id="1"/>
      </w:r>
      <w:r w:rsidRPr="008C7800">
        <w:rPr>
          <w:rFonts w:ascii="Times New Roman" w:hAnsi="Times New Roman" w:cs="Times New Roman"/>
        </w:rPr>
        <w:t xml:space="preserve"> (ci-après code pénal) contient l</w:t>
      </w:r>
      <w:r w:rsidR="008C7800" w:rsidRPr="008C7800">
        <w:rPr>
          <w:rFonts w:ascii="Times New Roman" w:hAnsi="Times New Roman" w:cs="Times New Roman"/>
        </w:rPr>
        <w:t>’</w:t>
      </w:r>
      <w:r w:rsidR="00780E46" w:rsidRPr="008C7800">
        <w:rPr>
          <w:rFonts w:ascii="Times New Roman" w:hAnsi="Times New Roman" w:cs="Times New Roman"/>
        </w:rPr>
        <w:t xml:space="preserve">article 202, partie 1, </w:t>
      </w:r>
      <w:r w:rsidR="0021334F" w:rsidRPr="008C7800">
        <w:rPr>
          <w:rFonts w:ascii="Times New Roman" w:hAnsi="Times New Roman" w:cs="Times New Roman"/>
        </w:rPr>
        <w:t xml:space="preserve">établissant la </w:t>
      </w:r>
      <w:r w:rsidR="00780E46" w:rsidRPr="008C7800">
        <w:rPr>
          <w:rFonts w:ascii="Times New Roman" w:hAnsi="Times New Roman" w:cs="Times New Roman"/>
        </w:rPr>
        <w:t xml:space="preserve">responsabilité pénale pour </w:t>
      </w:r>
      <w:r w:rsidR="001B33B5" w:rsidRPr="008C7800">
        <w:rPr>
          <w:rFonts w:ascii="Times New Roman" w:hAnsi="Times New Roman" w:cs="Times New Roman"/>
        </w:rPr>
        <w:t xml:space="preserve">un </w:t>
      </w:r>
      <w:r w:rsidR="00F1510B">
        <w:rPr>
          <w:rFonts w:ascii="Times New Roman" w:hAnsi="Times New Roman" w:cs="Times New Roman"/>
        </w:rPr>
        <w:t>« </w:t>
      </w:r>
      <w:r w:rsidR="001B33B5" w:rsidRPr="008C7800">
        <w:rPr>
          <w:rFonts w:ascii="Times New Roman" w:hAnsi="Times New Roman" w:cs="Times New Roman"/>
        </w:rPr>
        <w:t>engagement non autorisé dans des activités économiques, commerciales, financières ou professionnelles</w:t>
      </w:r>
      <w:r w:rsidR="00F1510B">
        <w:rPr>
          <w:rFonts w:ascii="Times New Roman" w:hAnsi="Times New Roman" w:cs="Times New Roman"/>
        </w:rPr>
        <w:t> »</w:t>
      </w:r>
      <w:r w:rsidR="001B33B5" w:rsidRPr="008C7800">
        <w:rPr>
          <w:rFonts w:ascii="Times New Roman" w:hAnsi="Times New Roman" w:cs="Times New Roman"/>
        </w:rPr>
        <w:t>, c</w:t>
      </w:r>
      <w:r w:rsidR="008C7800" w:rsidRPr="008C7800">
        <w:rPr>
          <w:rFonts w:ascii="Times New Roman" w:hAnsi="Times New Roman" w:cs="Times New Roman"/>
        </w:rPr>
        <w:t>’</w:t>
      </w:r>
      <w:r w:rsidR="001B33B5" w:rsidRPr="008C7800">
        <w:rPr>
          <w:rFonts w:ascii="Times New Roman" w:hAnsi="Times New Roman" w:cs="Times New Roman"/>
        </w:rPr>
        <w:t xml:space="preserve">est-à-dire pour </w:t>
      </w:r>
      <w:r w:rsidR="00780E46" w:rsidRPr="008C7800">
        <w:rPr>
          <w:rFonts w:ascii="Times New Roman" w:hAnsi="Times New Roman" w:cs="Times New Roman"/>
        </w:rPr>
        <w:t xml:space="preserve">une personne qui </w:t>
      </w:r>
      <w:r w:rsidR="00645860" w:rsidRPr="008C7800">
        <w:rPr>
          <w:rFonts w:ascii="Times New Roman" w:hAnsi="Times New Roman" w:cs="Times New Roman"/>
        </w:rPr>
        <w:t>entreprend des activités économiques, commerciales, financières ou professionnelles sous la forme d</w:t>
      </w:r>
      <w:r w:rsidR="008C7800" w:rsidRPr="008C7800">
        <w:rPr>
          <w:rFonts w:ascii="Times New Roman" w:hAnsi="Times New Roman" w:cs="Times New Roman"/>
        </w:rPr>
        <w:t>’</w:t>
      </w:r>
      <w:r w:rsidR="00645860" w:rsidRPr="008C7800">
        <w:rPr>
          <w:rFonts w:ascii="Times New Roman" w:hAnsi="Times New Roman" w:cs="Times New Roman"/>
        </w:rPr>
        <w:t>une entreprise ou à grande échelle</w:t>
      </w:r>
      <w:r w:rsidR="00645860" w:rsidRPr="008C7800">
        <w:rPr>
          <w:rStyle w:val="FootnoteReference"/>
          <w:rFonts w:ascii="Times New Roman" w:hAnsi="Times New Roman" w:cs="Times New Roman"/>
        </w:rPr>
        <w:footnoteReference w:id="2"/>
      </w:r>
      <w:r w:rsidR="00645860" w:rsidRPr="008C7800">
        <w:rPr>
          <w:rFonts w:ascii="Times New Roman" w:hAnsi="Times New Roman" w:cs="Times New Roman"/>
        </w:rPr>
        <w:t xml:space="preserve"> sans détenir une licence/autorisation d</w:t>
      </w:r>
      <w:r w:rsidR="008C7800" w:rsidRPr="008C7800">
        <w:rPr>
          <w:rFonts w:ascii="Times New Roman" w:hAnsi="Times New Roman" w:cs="Times New Roman"/>
        </w:rPr>
        <w:t>’</w:t>
      </w:r>
      <w:r w:rsidR="00645860" w:rsidRPr="008C7800">
        <w:rPr>
          <w:rFonts w:ascii="Times New Roman" w:hAnsi="Times New Roman" w:cs="Times New Roman"/>
        </w:rPr>
        <w:t>exercer les activités pour lesquelles elle est requise ou par d</w:t>
      </w:r>
      <w:r w:rsidR="008C7800" w:rsidRPr="008C7800">
        <w:rPr>
          <w:rFonts w:ascii="Times New Roman" w:hAnsi="Times New Roman" w:cs="Times New Roman"/>
        </w:rPr>
        <w:t>’</w:t>
      </w:r>
      <w:r w:rsidR="00645860" w:rsidRPr="008C7800">
        <w:rPr>
          <w:rFonts w:ascii="Times New Roman" w:hAnsi="Times New Roman" w:cs="Times New Roman"/>
        </w:rPr>
        <w:t>autres moyens illégaux</w:t>
      </w:r>
      <w:r w:rsidR="00780E46" w:rsidRPr="008C7800">
        <w:rPr>
          <w:rFonts w:ascii="Times New Roman" w:hAnsi="Times New Roman" w:cs="Times New Roman"/>
        </w:rPr>
        <w:t>.</w:t>
      </w:r>
    </w:p>
    <w:p w14:paraId="21C21FCA" w14:textId="77777777" w:rsidR="0021334F" w:rsidRPr="008C7800" w:rsidRDefault="0021334F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4A4C45" w14:textId="57ADBE5E" w:rsidR="00780E46" w:rsidRPr="008C7800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Selon la pratique des tribunaux lituaniens, les </w:t>
      </w:r>
      <w:r w:rsidR="00F1510B">
        <w:rPr>
          <w:rFonts w:ascii="Times New Roman" w:hAnsi="Times New Roman" w:cs="Times New Roman"/>
        </w:rPr>
        <w:t>« </w:t>
      </w:r>
      <w:r w:rsidRPr="008C7800">
        <w:rPr>
          <w:rFonts w:ascii="Times New Roman" w:hAnsi="Times New Roman" w:cs="Times New Roman"/>
        </w:rPr>
        <w:t xml:space="preserve">autres </w:t>
      </w:r>
      <w:r w:rsidR="00EE2A2C" w:rsidRPr="008C7800">
        <w:rPr>
          <w:rFonts w:ascii="Times New Roman" w:hAnsi="Times New Roman" w:cs="Times New Roman"/>
        </w:rPr>
        <w:t xml:space="preserve">moyens </w:t>
      </w:r>
      <w:r w:rsidRPr="008C7800">
        <w:rPr>
          <w:rFonts w:ascii="Times New Roman" w:hAnsi="Times New Roman" w:cs="Times New Roman"/>
        </w:rPr>
        <w:t>illégaux</w:t>
      </w:r>
      <w:r w:rsidR="00F1510B">
        <w:rPr>
          <w:rFonts w:ascii="Times New Roman" w:hAnsi="Times New Roman" w:cs="Times New Roman"/>
        </w:rPr>
        <w:t> »</w:t>
      </w:r>
      <w:r w:rsidRPr="008C7800">
        <w:rPr>
          <w:rFonts w:ascii="Times New Roman" w:hAnsi="Times New Roman" w:cs="Times New Roman"/>
        </w:rPr>
        <w:t xml:space="preserve"> peuvent inclure les </w:t>
      </w:r>
      <w:r w:rsidR="00A4643C" w:rsidRPr="008C7800">
        <w:rPr>
          <w:rFonts w:ascii="Times New Roman" w:hAnsi="Times New Roman" w:cs="Times New Roman"/>
        </w:rPr>
        <w:t xml:space="preserve">situations </w:t>
      </w:r>
      <w:r w:rsidRPr="008C7800">
        <w:rPr>
          <w:rFonts w:ascii="Times New Roman" w:hAnsi="Times New Roman" w:cs="Times New Roman"/>
        </w:rPr>
        <w:t xml:space="preserve">suivantes : </w:t>
      </w:r>
    </w:p>
    <w:p w14:paraId="505CBC45" w14:textId="2902787E" w:rsidR="00780E46" w:rsidRPr="008C7800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1. </w:t>
      </w:r>
      <w:r w:rsidR="0021334F" w:rsidRPr="008C7800">
        <w:rPr>
          <w:rFonts w:ascii="Times New Roman" w:hAnsi="Times New Roman" w:cs="Times New Roman"/>
        </w:rPr>
        <w:t xml:space="preserve">Entreprendre des </w:t>
      </w:r>
      <w:r w:rsidRPr="008C7800">
        <w:rPr>
          <w:rFonts w:ascii="Times New Roman" w:hAnsi="Times New Roman" w:cs="Times New Roman"/>
        </w:rPr>
        <w:t>activités qui sont légalement réservées aux personnes morales sans enregistrer une telle entité ;</w:t>
      </w:r>
    </w:p>
    <w:p w14:paraId="10AF8EAB" w14:textId="3E0DA522" w:rsidR="00780E46" w:rsidRPr="008C7800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2. Entreprendre des activités </w:t>
      </w:r>
      <w:r w:rsidR="009A7F2E" w:rsidRPr="008C7800">
        <w:rPr>
          <w:rFonts w:ascii="Times New Roman" w:hAnsi="Times New Roman" w:cs="Times New Roman"/>
        </w:rPr>
        <w:t xml:space="preserve">économiques, commerciales, financières ou professionnelles </w:t>
      </w:r>
      <w:r w:rsidRPr="008C7800">
        <w:rPr>
          <w:rFonts w:ascii="Times New Roman" w:hAnsi="Times New Roman" w:cs="Times New Roman"/>
        </w:rPr>
        <w:t>individuelles sans les enregistrer ou obtenir une licence d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exploitation</w:t>
      </w:r>
      <w:r w:rsidR="00DF3552" w:rsidRPr="008C7800">
        <w:rPr>
          <w:rFonts w:ascii="Times New Roman" w:hAnsi="Times New Roman" w:cs="Times New Roman"/>
        </w:rPr>
        <w:t xml:space="preserve">. </w:t>
      </w:r>
    </w:p>
    <w:p w14:paraId="3A00E34E" w14:textId="77777777" w:rsidR="00780E46" w:rsidRPr="008C7800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>3. Dépasser manifestement le cadre des activités autorisées par la licence ou le permis ;</w:t>
      </w:r>
    </w:p>
    <w:p w14:paraId="4F1CEF1E" w14:textId="0A866F66" w:rsidR="00780E46" w:rsidRPr="008C7800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>4. Obtention d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une licence ou d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un permis en soumettant de fausses informations à 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autorité responsable ; et autres cas similaires.</w:t>
      </w:r>
    </w:p>
    <w:p w14:paraId="35DB6816" w14:textId="77777777" w:rsidR="009A2157" w:rsidRPr="008C7800" w:rsidRDefault="009A2157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40E2C30" w14:textId="236B3929" w:rsidR="00780E46" w:rsidRPr="008C7800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>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 xml:space="preserve">affaire </w:t>
      </w:r>
      <w:r w:rsidR="00042015" w:rsidRPr="008C7800">
        <w:rPr>
          <w:rFonts w:ascii="Times New Roman" w:hAnsi="Times New Roman" w:cs="Times New Roman"/>
        </w:rPr>
        <w:t xml:space="preserve">pénale </w:t>
      </w:r>
      <w:r w:rsidRPr="008C7800">
        <w:rPr>
          <w:rFonts w:ascii="Times New Roman" w:hAnsi="Times New Roman" w:cs="Times New Roman"/>
        </w:rPr>
        <w:t xml:space="preserve">actuellement examinée par la </w:t>
      </w:r>
      <w:r w:rsidR="00322607" w:rsidRPr="008C7800">
        <w:rPr>
          <w:rFonts w:ascii="Times New Roman" w:hAnsi="Times New Roman" w:cs="Times New Roman"/>
        </w:rPr>
        <w:t xml:space="preserve">session plénière de la chambre pénale de la </w:t>
      </w:r>
      <w:r w:rsidRPr="008C7800">
        <w:rPr>
          <w:rFonts w:ascii="Times New Roman" w:hAnsi="Times New Roman" w:cs="Times New Roman"/>
        </w:rPr>
        <w:t xml:space="preserve">Cour suprême de Lituanie concerne la deuxième situation </w:t>
      </w:r>
      <w:r w:rsidR="00042015" w:rsidRPr="008C7800">
        <w:rPr>
          <w:rFonts w:ascii="Times New Roman" w:hAnsi="Times New Roman" w:cs="Times New Roman"/>
        </w:rPr>
        <w:t>mentionnée ci-dessus</w:t>
      </w:r>
      <w:r w:rsidR="00034097" w:rsidRPr="008C7800">
        <w:rPr>
          <w:rFonts w:ascii="Times New Roman" w:hAnsi="Times New Roman" w:cs="Times New Roman"/>
        </w:rPr>
        <w:t xml:space="preserve">. En particulier, une personne </w:t>
      </w:r>
      <w:r w:rsidR="00907411" w:rsidRPr="008C7800">
        <w:rPr>
          <w:rFonts w:ascii="Times New Roman" w:hAnsi="Times New Roman" w:cs="Times New Roman"/>
        </w:rPr>
        <w:t>est accusée d</w:t>
      </w:r>
      <w:r w:rsidR="008C7800" w:rsidRPr="008C7800">
        <w:rPr>
          <w:rFonts w:ascii="Times New Roman" w:hAnsi="Times New Roman" w:cs="Times New Roman"/>
        </w:rPr>
        <w:t>’</w:t>
      </w:r>
      <w:r w:rsidR="00907411" w:rsidRPr="008C7800">
        <w:rPr>
          <w:rFonts w:ascii="Times New Roman" w:hAnsi="Times New Roman" w:cs="Times New Roman"/>
        </w:rPr>
        <w:t xml:space="preserve">avoir </w:t>
      </w:r>
      <w:r w:rsidR="00034097" w:rsidRPr="008C7800">
        <w:rPr>
          <w:rFonts w:ascii="Times New Roman" w:hAnsi="Times New Roman" w:cs="Times New Roman"/>
        </w:rPr>
        <w:t xml:space="preserve">entrepris des </w:t>
      </w:r>
      <w:r w:rsidRPr="008C7800">
        <w:rPr>
          <w:rFonts w:ascii="Times New Roman" w:hAnsi="Times New Roman" w:cs="Times New Roman"/>
        </w:rPr>
        <w:t xml:space="preserve">activités individuelles </w:t>
      </w:r>
      <w:r w:rsidR="00BE3008" w:rsidRPr="008C7800">
        <w:rPr>
          <w:rFonts w:ascii="Times New Roman" w:hAnsi="Times New Roman" w:cs="Times New Roman"/>
        </w:rPr>
        <w:t xml:space="preserve">dans le domaine de la construction </w:t>
      </w:r>
      <w:r w:rsidR="001B33B5" w:rsidRPr="008C7800">
        <w:rPr>
          <w:rFonts w:ascii="Times New Roman" w:hAnsi="Times New Roman" w:cs="Times New Roman"/>
        </w:rPr>
        <w:t xml:space="preserve">pendant un an et demi </w:t>
      </w:r>
      <w:r w:rsidRPr="008C7800">
        <w:rPr>
          <w:rFonts w:ascii="Times New Roman" w:hAnsi="Times New Roman" w:cs="Times New Roman"/>
        </w:rPr>
        <w:t xml:space="preserve">sans les enregistrer </w:t>
      </w:r>
      <w:r w:rsidR="0015751A" w:rsidRPr="008C7800">
        <w:rPr>
          <w:rFonts w:ascii="Times New Roman" w:hAnsi="Times New Roman" w:cs="Times New Roman"/>
        </w:rPr>
        <w:t xml:space="preserve">ni </w:t>
      </w:r>
      <w:r w:rsidRPr="008C7800">
        <w:rPr>
          <w:rFonts w:ascii="Times New Roman" w:hAnsi="Times New Roman" w:cs="Times New Roman"/>
        </w:rPr>
        <w:t>obtenir de licence commerciale</w:t>
      </w:r>
      <w:r w:rsidR="00BE3008" w:rsidRPr="008C7800">
        <w:rPr>
          <w:rFonts w:ascii="Times New Roman" w:hAnsi="Times New Roman" w:cs="Times New Roman"/>
        </w:rPr>
        <w:t xml:space="preserve">. Par conséquent, </w:t>
      </w:r>
      <w:r w:rsidRPr="008C7800">
        <w:rPr>
          <w:rFonts w:ascii="Times New Roman" w:hAnsi="Times New Roman" w:cs="Times New Roman"/>
        </w:rPr>
        <w:t xml:space="preserve">les </w:t>
      </w:r>
      <w:r w:rsidR="0015751A" w:rsidRPr="008C7800">
        <w:rPr>
          <w:rFonts w:ascii="Times New Roman" w:hAnsi="Times New Roman" w:cs="Times New Roman"/>
        </w:rPr>
        <w:t xml:space="preserve">activités </w:t>
      </w:r>
      <w:r w:rsidRPr="008C7800">
        <w:rPr>
          <w:rFonts w:ascii="Times New Roman" w:hAnsi="Times New Roman" w:cs="Times New Roman"/>
        </w:rPr>
        <w:t xml:space="preserve">et les revenus </w:t>
      </w:r>
      <w:r w:rsidR="0015751A" w:rsidRPr="008C7800">
        <w:rPr>
          <w:rFonts w:ascii="Times New Roman" w:hAnsi="Times New Roman" w:cs="Times New Roman"/>
        </w:rPr>
        <w:t xml:space="preserve">correspondants </w:t>
      </w:r>
      <w:r w:rsidR="00BE3008" w:rsidRPr="008C7800">
        <w:rPr>
          <w:rFonts w:ascii="Times New Roman" w:hAnsi="Times New Roman" w:cs="Times New Roman"/>
        </w:rPr>
        <w:t xml:space="preserve">ont été dissimulés </w:t>
      </w:r>
      <w:r w:rsidRPr="008C7800">
        <w:rPr>
          <w:rFonts w:ascii="Times New Roman" w:hAnsi="Times New Roman" w:cs="Times New Roman"/>
        </w:rPr>
        <w:t>à 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 xml:space="preserve">autorité fiscale </w:t>
      </w:r>
      <w:r w:rsidR="0015751A" w:rsidRPr="008C7800">
        <w:rPr>
          <w:rFonts w:ascii="Times New Roman" w:hAnsi="Times New Roman" w:cs="Times New Roman"/>
        </w:rPr>
        <w:t>(</w:t>
      </w:r>
      <w:r w:rsidRPr="008C7800">
        <w:rPr>
          <w:rFonts w:ascii="Times New Roman" w:hAnsi="Times New Roman" w:cs="Times New Roman"/>
        </w:rPr>
        <w:t xml:space="preserve">administrateur </w:t>
      </w:r>
      <w:r w:rsidR="0015751A" w:rsidRPr="008C7800">
        <w:rPr>
          <w:rFonts w:ascii="Times New Roman" w:hAnsi="Times New Roman" w:cs="Times New Roman"/>
        </w:rPr>
        <w:t>fiscal)</w:t>
      </w:r>
      <w:r w:rsidRPr="008C7800">
        <w:rPr>
          <w:rFonts w:ascii="Times New Roman" w:hAnsi="Times New Roman" w:cs="Times New Roman"/>
        </w:rPr>
        <w:t xml:space="preserve">, ce qui </w:t>
      </w:r>
      <w:r w:rsidR="0021334F" w:rsidRPr="008C7800">
        <w:rPr>
          <w:rFonts w:ascii="Times New Roman" w:hAnsi="Times New Roman" w:cs="Times New Roman"/>
        </w:rPr>
        <w:t xml:space="preserve">également eu un impact négatif sur la </w:t>
      </w:r>
      <w:r w:rsidRPr="008C7800">
        <w:rPr>
          <w:rFonts w:ascii="Times New Roman" w:hAnsi="Times New Roman" w:cs="Times New Roman"/>
        </w:rPr>
        <w:t>concurrence loyale.</w:t>
      </w:r>
    </w:p>
    <w:p w14:paraId="2CD1FA66" w14:textId="77777777" w:rsidR="009A2157" w:rsidRPr="008C7800" w:rsidRDefault="009A2157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C2028E" w14:textId="5B8031B3" w:rsidR="00780E46" w:rsidRPr="008C7800" w:rsidRDefault="00545BA8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Pour les besoins de cette </w:t>
      </w:r>
      <w:r w:rsidR="00857DD2" w:rsidRPr="008C7800">
        <w:rPr>
          <w:rFonts w:ascii="Times New Roman" w:hAnsi="Times New Roman" w:cs="Times New Roman"/>
        </w:rPr>
        <w:t xml:space="preserve">affaire, </w:t>
      </w:r>
      <w:r w:rsidRPr="008C7800">
        <w:rPr>
          <w:rFonts w:ascii="Times New Roman" w:hAnsi="Times New Roman" w:cs="Times New Roman"/>
        </w:rPr>
        <w:t xml:space="preserve">nous effectuons </w:t>
      </w:r>
      <w:r w:rsidR="0079306A" w:rsidRPr="008C7800">
        <w:rPr>
          <w:rFonts w:ascii="Times New Roman" w:hAnsi="Times New Roman" w:cs="Times New Roman"/>
        </w:rPr>
        <w:t xml:space="preserve">une </w:t>
      </w:r>
      <w:r w:rsidR="00322607" w:rsidRPr="008C7800">
        <w:rPr>
          <w:rFonts w:ascii="Times New Roman" w:hAnsi="Times New Roman" w:cs="Times New Roman"/>
        </w:rPr>
        <w:t xml:space="preserve">analyse juridique comparative </w:t>
      </w:r>
      <w:r w:rsidRPr="008C7800">
        <w:rPr>
          <w:rFonts w:ascii="Times New Roman" w:hAnsi="Times New Roman" w:cs="Times New Roman"/>
        </w:rPr>
        <w:t>afin d</w:t>
      </w:r>
      <w:r w:rsidR="008C7800" w:rsidRPr="008C7800">
        <w:rPr>
          <w:rFonts w:ascii="Times New Roman" w:hAnsi="Times New Roman" w:cs="Times New Roman"/>
        </w:rPr>
        <w:t>’</w:t>
      </w:r>
      <w:r w:rsidR="00857DD2" w:rsidRPr="008C7800">
        <w:rPr>
          <w:rFonts w:ascii="Times New Roman" w:hAnsi="Times New Roman" w:cs="Times New Roman"/>
        </w:rPr>
        <w:t xml:space="preserve">identifier et de </w:t>
      </w:r>
      <w:r w:rsidR="00780E46" w:rsidRPr="008C7800">
        <w:rPr>
          <w:rFonts w:ascii="Times New Roman" w:hAnsi="Times New Roman" w:cs="Times New Roman"/>
        </w:rPr>
        <w:t>comparer pratiques juridiques des pays européens en ce qui concerne l</w:t>
      </w:r>
      <w:r w:rsidR="008C7800" w:rsidRPr="008C7800">
        <w:rPr>
          <w:rFonts w:ascii="Times New Roman" w:hAnsi="Times New Roman" w:cs="Times New Roman"/>
        </w:rPr>
        <w:t>’</w:t>
      </w:r>
      <w:r w:rsidR="00780E46" w:rsidRPr="008C7800">
        <w:rPr>
          <w:rFonts w:ascii="Times New Roman" w:hAnsi="Times New Roman" w:cs="Times New Roman"/>
        </w:rPr>
        <w:t xml:space="preserve">application de la responsabilité pénale pour des </w:t>
      </w:r>
      <w:r w:rsidR="00322607" w:rsidRPr="008C7800">
        <w:rPr>
          <w:rFonts w:ascii="Times New Roman" w:hAnsi="Times New Roman" w:cs="Times New Roman"/>
        </w:rPr>
        <w:t xml:space="preserve">actes </w:t>
      </w:r>
      <w:r w:rsidR="00780E46" w:rsidRPr="008C7800">
        <w:rPr>
          <w:rFonts w:ascii="Times New Roman" w:hAnsi="Times New Roman" w:cs="Times New Roman"/>
        </w:rPr>
        <w:t xml:space="preserve">similaires et les approches de </w:t>
      </w:r>
      <w:r w:rsidR="00184B9F" w:rsidRPr="008C7800">
        <w:rPr>
          <w:rFonts w:ascii="Times New Roman" w:hAnsi="Times New Roman" w:cs="Times New Roman"/>
        </w:rPr>
        <w:t xml:space="preserve">la </w:t>
      </w:r>
      <w:r w:rsidR="00780E46" w:rsidRPr="008C7800">
        <w:rPr>
          <w:rFonts w:ascii="Times New Roman" w:hAnsi="Times New Roman" w:cs="Times New Roman"/>
        </w:rPr>
        <w:t xml:space="preserve">confiscation </w:t>
      </w:r>
      <w:r w:rsidR="00184B9F" w:rsidRPr="008C7800">
        <w:rPr>
          <w:rFonts w:ascii="Times New Roman" w:hAnsi="Times New Roman" w:cs="Times New Roman"/>
        </w:rPr>
        <w:t xml:space="preserve">des biens </w:t>
      </w:r>
      <w:r w:rsidRPr="008C7800">
        <w:rPr>
          <w:rFonts w:ascii="Times New Roman" w:hAnsi="Times New Roman" w:cs="Times New Roman"/>
        </w:rPr>
        <w:t>dans ce contexte</w:t>
      </w:r>
      <w:r w:rsidR="00780E46" w:rsidRPr="008C7800">
        <w:rPr>
          <w:rFonts w:ascii="Times New Roman" w:hAnsi="Times New Roman" w:cs="Times New Roman"/>
        </w:rPr>
        <w:t xml:space="preserve">. Par conséquent, nous vous demandons </w:t>
      </w:r>
      <w:r w:rsidRPr="008C7800">
        <w:rPr>
          <w:rFonts w:ascii="Times New Roman" w:hAnsi="Times New Roman" w:cs="Times New Roman"/>
        </w:rPr>
        <w:t>de</w:t>
      </w:r>
      <w:r w:rsidR="00780E46" w:rsidRPr="008C7800">
        <w:rPr>
          <w:rFonts w:ascii="Times New Roman" w:hAnsi="Times New Roman" w:cs="Times New Roman"/>
        </w:rPr>
        <w:t xml:space="preserve"> bien vouloir </w:t>
      </w:r>
      <w:r w:rsidR="00FD0378" w:rsidRPr="008C7800">
        <w:rPr>
          <w:rFonts w:ascii="Times New Roman" w:hAnsi="Times New Roman" w:cs="Times New Roman"/>
        </w:rPr>
        <w:t xml:space="preserve">répondre aux questions suivantes </w:t>
      </w:r>
      <w:r w:rsidR="00780E46" w:rsidRPr="008C7800">
        <w:rPr>
          <w:rFonts w:ascii="Times New Roman" w:hAnsi="Times New Roman" w:cs="Times New Roman"/>
        </w:rPr>
        <w:t>:</w:t>
      </w:r>
    </w:p>
    <w:p w14:paraId="66BAC83F" w14:textId="77777777" w:rsidR="009A2157" w:rsidRPr="008C7800" w:rsidRDefault="009A2157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3E8E89E" w14:textId="1BA3B731" w:rsidR="00780E46" w:rsidRDefault="00780E46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1. </w:t>
      </w:r>
      <w:r w:rsidR="001B33B5" w:rsidRPr="008C7800">
        <w:rPr>
          <w:rFonts w:ascii="Times New Roman" w:hAnsi="Times New Roman" w:cs="Times New Roman"/>
        </w:rPr>
        <w:t>L</w:t>
      </w:r>
      <w:r w:rsidR="008C7800" w:rsidRPr="008C7800">
        <w:rPr>
          <w:rFonts w:ascii="Times New Roman" w:hAnsi="Times New Roman" w:cs="Times New Roman"/>
        </w:rPr>
        <w:t>’</w:t>
      </w:r>
      <w:r w:rsidR="00CD420C" w:rsidRPr="008C7800">
        <w:rPr>
          <w:rFonts w:ascii="Times New Roman" w:hAnsi="Times New Roman" w:cs="Times New Roman"/>
        </w:rPr>
        <w:t>exercice d</w:t>
      </w:r>
      <w:r w:rsidR="008C7800" w:rsidRPr="008C7800">
        <w:rPr>
          <w:rFonts w:ascii="Times New Roman" w:hAnsi="Times New Roman" w:cs="Times New Roman"/>
        </w:rPr>
        <w:t>’</w:t>
      </w:r>
      <w:r w:rsidR="00CD420C" w:rsidRPr="008C7800">
        <w:rPr>
          <w:rFonts w:ascii="Times New Roman" w:hAnsi="Times New Roman" w:cs="Times New Roman"/>
        </w:rPr>
        <w:t xml:space="preserve">activités économiques, commerciales, financières ou professionnelles </w:t>
      </w:r>
      <w:r w:rsidR="00DF3552" w:rsidRPr="008C7800">
        <w:rPr>
          <w:rFonts w:ascii="Times New Roman" w:hAnsi="Times New Roman" w:cs="Times New Roman"/>
        </w:rPr>
        <w:t xml:space="preserve">individuelles </w:t>
      </w:r>
      <w:r w:rsidR="00CD420C" w:rsidRPr="008C7800">
        <w:rPr>
          <w:rFonts w:ascii="Times New Roman" w:hAnsi="Times New Roman" w:cs="Times New Roman"/>
        </w:rPr>
        <w:t xml:space="preserve">sans </w:t>
      </w:r>
      <w:r w:rsidR="00857DD2" w:rsidRPr="008C7800">
        <w:rPr>
          <w:rFonts w:ascii="Times New Roman" w:hAnsi="Times New Roman" w:cs="Times New Roman"/>
        </w:rPr>
        <w:t>les formaliser conformément à la loi (</w:t>
      </w:r>
      <w:r w:rsidR="00CD420C" w:rsidRPr="008C7800">
        <w:rPr>
          <w:rFonts w:ascii="Times New Roman" w:hAnsi="Times New Roman" w:cs="Times New Roman"/>
        </w:rPr>
        <w:t xml:space="preserve">enregistrement </w:t>
      </w:r>
      <w:r w:rsidR="00857DD2" w:rsidRPr="008C7800">
        <w:rPr>
          <w:rFonts w:ascii="Times New Roman" w:hAnsi="Times New Roman" w:cs="Times New Roman"/>
        </w:rPr>
        <w:t>auprès de l</w:t>
      </w:r>
      <w:r w:rsidR="008C7800" w:rsidRPr="008C7800">
        <w:rPr>
          <w:rFonts w:ascii="Times New Roman" w:hAnsi="Times New Roman" w:cs="Times New Roman"/>
        </w:rPr>
        <w:t>’</w:t>
      </w:r>
      <w:r w:rsidR="00857DD2" w:rsidRPr="008C7800">
        <w:rPr>
          <w:rFonts w:ascii="Times New Roman" w:hAnsi="Times New Roman" w:cs="Times New Roman"/>
        </w:rPr>
        <w:t xml:space="preserve">administration fiscale, </w:t>
      </w:r>
      <w:r w:rsidR="00CD420C" w:rsidRPr="008C7800">
        <w:rPr>
          <w:rFonts w:ascii="Times New Roman" w:hAnsi="Times New Roman" w:cs="Times New Roman"/>
        </w:rPr>
        <w:t>obtention d</w:t>
      </w:r>
      <w:r w:rsidR="008C7800" w:rsidRPr="008C7800">
        <w:rPr>
          <w:rFonts w:ascii="Times New Roman" w:hAnsi="Times New Roman" w:cs="Times New Roman"/>
        </w:rPr>
        <w:t>’</w:t>
      </w:r>
      <w:r w:rsidR="00CD420C" w:rsidRPr="008C7800">
        <w:rPr>
          <w:rFonts w:ascii="Times New Roman" w:hAnsi="Times New Roman" w:cs="Times New Roman"/>
        </w:rPr>
        <w:t xml:space="preserve">une licence </w:t>
      </w:r>
      <w:r w:rsidR="00CD420C" w:rsidRPr="008C7800">
        <w:rPr>
          <w:rFonts w:ascii="Times New Roman" w:hAnsi="Times New Roman" w:cs="Times New Roman"/>
        </w:rPr>
        <w:lastRenderedPageBreak/>
        <w:t>d</w:t>
      </w:r>
      <w:r w:rsidR="008C7800" w:rsidRPr="008C7800">
        <w:rPr>
          <w:rFonts w:ascii="Times New Roman" w:hAnsi="Times New Roman" w:cs="Times New Roman"/>
        </w:rPr>
        <w:t>’</w:t>
      </w:r>
      <w:r w:rsidR="00CD420C" w:rsidRPr="008C7800">
        <w:rPr>
          <w:rFonts w:ascii="Times New Roman" w:hAnsi="Times New Roman" w:cs="Times New Roman"/>
        </w:rPr>
        <w:t>exploitation</w:t>
      </w:r>
      <w:r w:rsidR="00857DD2" w:rsidRPr="008C7800">
        <w:rPr>
          <w:rFonts w:ascii="Times New Roman" w:hAnsi="Times New Roman" w:cs="Times New Roman"/>
        </w:rPr>
        <w:t>, etc</w:t>
      </w:r>
      <w:r w:rsidR="00912C1F" w:rsidRPr="008C7800">
        <w:rPr>
          <w:rFonts w:ascii="Times New Roman" w:hAnsi="Times New Roman" w:cs="Times New Roman"/>
        </w:rPr>
        <w:t>.</w:t>
      </w:r>
      <w:r w:rsidR="00857DD2" w:rsidRPr="008C7800">
        <w:rPr>
          <w:rFonts w:ascii="Times New Roman" w:hAnsi="Times New Roman" w:cs="Times New Roman"/>
        </w:rPr>
        <w:t xml:space="preserve">) et la </w:t>
      </w:r>
      <w:r w:rsidR="00CD420C" w:rsidRPr="008C7800">
        <w:rPr>
          <w:rFonts w:ascii="Times New Roman" w:hAnsi="Times New Roman" w:cs="Times New Roman"/>
        </w:rPr>
        <w:t xml:space="preserve">dissimulation de </w:t>
      </w:r>
      <w:r w:rsidR="00DF3552" w:rsidRPr="008C7800">
        <w:rPr>
          <w:rFonts w:ascii="Times New Roman" w:hAnsi="Times New Roman" w:cs="Times New Roman"/>
        </w:rPr>
        <w:t xml:space="preserve">ces activités </w:t>
      </w:r>
      <w:r w:rsidR="00CD420C" w:rsidRPr="008C7800">
        <w:rPr>
          <w:rFonts w:ascii="Times New Roman" w:hAnsi="Times New Roman" w:cs="Times New Roman"/>
        </w:rPr>
        <w:t xml:space="preserve">et de </w:t>
      </w:r>
      <w:r w:rsidR="00DF3552" w:rsidRPr="008C7800">
        <w:rPr>
          <w:rFonts w:ascii="Times New Roman" w:hAnsi="Times New Roman" w:cs="Times New Roman"/>
        </w:rPr>
        <w:t xml:space="preserve">leurs </w:t>
      </w:r>
      <w:r w:rsidR="00CD420C" w:rsidRPr="008C7800">
        <w:rPr>
          <w:rFonts w:ascii="Times New Roman" w:hAnsi="Times New Roman" w:cs="Times New Roman"/>
        </w:rPr>
        <w:t xml:space="preserve">revenus aux </w:t>
      </w:r>
      <w:r w:rsidR="00907411" w:rsidRPr="008C7800">
        <w:rPr>
          <w:rFonts w:ascii="Times New Roman" w:hAnsi="Times New Roman" w:cs="Times New Roman"/>
        </w:rPr>
        <w:t>autorités</w:t>
      </w:r>
      <w:r w:rsidR="00CD420C" w:rsidRPr="008C7800">
        <w:rPr>
          <w:rFonts w:ascii="Times New Roman" w:hAnsi="Times New Roman" w:cs="Times New Roman"/>
        </w:rPr>
        <w:t xml:space="preserve"> fiscales </w:t>
      </w:r>
      <w:r w:rsidR="001B33B5" w:rsidRPr="008C7800">
        <w:rPr>
          <w:rFonts w:ascii="Times New Roman" w:hAnsi="Times New Roman" w:cs="Times New Roman"/>
        </w:rPr>
        <w:t xml:space="preserve">sont-elles </w:t>
      </w:r>
      <w:r w:rsidR="00CD420C" w:rsidRPr="008C7800">
        <w:rPr>
          <w:rFonts w:ascii="Times New Roman" w:hAnsi="Times New Roman" w:cs="Times New Roman"/>
        </w:rPr>
        <w:t xml:space="preserve">considérées </w:t>
      </w:r>
      <w:r w:rsidR="00034097" w:rsidRPr="008C7800">
        <w:rPr>
          <w:rFonts w:ascii="Times New Roman" w:hAnsi="Times New Roman" w:cs="Times New Roman"/>
        </w:rPr>
        <w:t xml:space="preserve">comme </w:t>
      </w:r>
      <w:r w:rsidR="00CD420C" w:rsidRPr="008C7800">
        <w:rPr>
          <w:rFonts w:ascii="Times New Roman" w:hAnsi="Times New Roman" w:cs="Times New Roman"/>
        </w:rPr>
        <w:t xml:space="preserve">une infraction pénale en vertu de la législation de </w:t>
      </w:r>
      <w:r w:rsidRPr="008C7800">
        <w:rPr>
          <w:rFonts w:ascii="Times New Roman" w:hAnsi="Times New Roman" w:cs="Times New Roman"/>
        </w:rPr>
        <w:t xml:space="preserve">votre pays </w:t>
      </w:r>
      <w:r w:rsidR="00912C1F" w:rsidRPr="008C7800">
        <w:rPr>
          <w:rFonts w:ascii="Times New Roman" w:hAnsi="Times New Roman" w:cs="Times New Roman"/>
        </w:rPr>
        <w:t xml:space="preserve">? </w:t>
      </w:r>
      <w:r w:rsidR="00333BE6" w:rsidRPr="008C7800">
        <w:rPr>
          <w:rFonts w:ascii="Times New Roman" w:hAnsi="Times New Roman" w:cs="Times New Roman"/>
        </w:rPr>
        <w:t>Dans l</w:t>
      </w:r>
      <w:r w:rsidR="008C7800" w:rsidRPr="008C7800">
        <w:rPr>
          <w:rFonts w:ascii="Times New Roman" w:hAnsi="Times New Roman" w:cs="Times New Roman"/>
        </w:rPr>
        <w:t>’</w:t>
      </w:r>
      <w:r w:rsidR="00333BE6" w:rsidRPr="008C7800">
        <w:rPr>
          <w:rFonts w:ascii="Times New Roman" w:hAnsi="Times New Roman" w:cs="Times New Roman"/>
        </w:rPr>
        <w:t xml:space="preserve">affirmative, quelle est la définition de </w:t>
      </w:r>
      <w:r w:rsidR="00907411" w:rsidRPr="008C7800">
        <w:rPr>
          <w:rFonts w:ascii="Times New Roman" w:hAnsi="Times New Roman" w:cs="Times New Roman"/>
        </w:rPr>
        <w:t>l</w:t>
      </w:r>
      <w:r w:rsidR="008C7800" w:rsidRPr="008C7800">
        <w:rPr>
          <w:rFonts w:ascii="Times New Roman" w:hAnsi="Times New Roman" w:cs="Times New Roman"/>
        </w:rPr>
        <w:t>’</w:t>
      </w:r>
      <w:r w:rsidR="00907411" w:rsidRPr="008C7800">
        <w:rPr>
          <w:rFonts w:ascii="Times New Roman" w:hAnsi="Times New Roman" w:cs="Times New Roman"/>
        </w:rPr>
        <w:t xml:space="preserve">infraction </w:t>
      </w:r>
      <w:r w:rsidR="00333BE6" w:rsidRPr="008C7800">
        <w:rPr>
          <w:rFonts w:ascii="Times New Roman" w:hAnsi="Times New Roman" w:cs="Times New Roman"/>
        </w:rPr>
        <w:t xml:space="preserve">et quelles sont les sanctions prévues </w:t>
      </w:r>
      <w:r w:rsidR="00034097" w:rsidRPr="008C7800">
        <w:rPr>
          <w:rFonts w:ascii="Times New Roman" w:hAnsi="Times New Roman" w:cs="Times New Roman"/>
        </w:rPr>
        <w:t>?</w:t>
      </w:r>
      <w:r w:rsidR="00333BE6" w:rsidRPr="008C7800">
        <w:rPr>
          <w:rFonts w:ascii="Times New Roman" w:hAnsi="Times New Roman" w:cs="Times New Roman"/>
        </w:rPr>
        <w:t xml:space="preserve">    </w:t>
      </w:r>
    </w:p>
    <w:p w14:paraId="183593A9" w14:textId="77777777" w:rsidR="003F603B" w:rsidRPr="008C7800" w:rsidRDefault="003F603B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9309F83" w14:textId="057C0569" w:rsidR="00780E46" w:rsidRDefault="00780E46" w:rsidP="00CA124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1.1. Si </w:t>
      </w:r>
      <w:r w:rsidR="009D7586" w:rsidRPr="008C7800">
        <w:rPr>
          <w:rFonts w:ascii="Times New Roman" w:hAnsi="Times New Roman" w:cs="Times New Roman"/>
        </w:rPr>
        <w:t xml:space="preserve">la réponse à la question 1 est positive, </w:t>
      </w:r>
      <w:r w:rsidRPr="008C7800">
        <w:rPr>
          <w:rFonts w:ascii="Times New Roman" w:hAnsi="Times New Roman" w:cs="Times New Roman"/>
        </w:rPr>
        <w:t xml:space="preserve">cette </w:t>
      </w:r>
      <w:r w:rsidR="009D7586" w:rsidRPr="008C7800">
        <w:rPr>
          <w:rFonts w:ascii="Times New Roman" w:hAnsi="Times New Roman" w:cs="Times New Roman"/>
        </w:rPr>
        <w:t xml:space="preserve">infraction </w:t>
      </w:r>
      <w:r w:rsidR="00EC18CA" w:rsidRPr="008C7800">
        <w:rPr>
          <w:rFonts w:ascii="Times New Roman" w:hAnsi="Times New Roman" w:cs="Times New Roman"/>
        </w:rPr>
        <w:t xml:space="preserve">pénale </w:t>
      </w:r>
      <w:r w:rsidRPr="008C7800">
        <w:rPr>
          <w:rFonts w:ascii="Times New Roman" w:hAnsi="Times New Roman" w:cs="Times New Roman"/>
        </w:rPr>
        <w:t xml:space="preserve">est-elle considérée </w:t>
      </w:r>
      <w:r w:rsidR="009D7586" w:rsidRPr="008C7800">
        <w:rPr>
          <w:rFonts w:ascii="Times New Roman" w:hAnsi="Times New Roman" w:cs="Times New Roman"/>
        </w:rPr>
        <w:t xml:space="preserve">comme une infraction </w:t>
      </w:r>
      <w:r w:rsidRPr="008C7800">
        <w:rPr>
          <w:rFonts w:ascii="Times New Roman" w:hAnsi="Times New Roman" w:cs="Times New Roman"/>
        </w:rPr>
        <w:t xml:space="preserve">contre le système fiscal ? Ou est-elle également considérée comme </w:t>
      </w:r>
      <w:r w:rsidR="009D7586" w:rsidRPr="008C7800">
        <w:rPr>
          <w:rFonts w:ascii="Times New Roman" w:hAnsi="Times New Roman" w:cs="Times New Roman"/>
        </w:rPr>
        <w:t xml:space="preserve">une infraction </w:t>
      </w:r>
      <w:r w:rsidRPr="008C7800">
        <w:rPr>
          <w:rFonts w:ascii="Times New Roman" w:hAnsi="Times New Roman" w:cs="Times New Roman"/>
        </w:rPr>
        <w:t>portant atteinte à d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autres intérêts juridiques, tels que la concurrence loyale</w:t>
      </w:r>
      <w:r w:rsidR="00FD0378" w:rsidRPr="008C7800">
        <w:rPr>
          <w:rFonts w:ascii="Times New Roman" w:hAnsi="Times New Roman" w:cs="Times New Roman"/>
        </w:rPr>
        <w:t>, etc</w:t>
      </w:r>
      <w:r w:rsidRPr="008C7800">
        <w:rPr>
          <w:rFonts w:ascii="Times New Roman" w:hAnsi="Times New Roman" w:cs="Times New Roman"/>
        </w:rPr>
        <w:t>.</w:t>
      </w:r>
    </w:p>
    <w:p w14:paraId="58ECFC05" w14:textId="77777777" w:rsidR="003F603B" w:rsidRPr="008C7800" w:rsidRDefault="003F603B" w:rsidP="00CA124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79641B36" w14:textId="69E7D407" w:rsidR="00780E46" w:rsidRDefault="00780E46" w:rsidP="00CA124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1.2. Si </w:t>
      </w:r>
      <w:r w:rsidR="009D7586" w:rsidRPr="008C7800">
        <w:rPr>
          <w:rFonts w:ascii="Times New Roman" w:hAnsi="Times New Roman" w:cs="Times New Roman"/>
        </w:rPr>
        <w:t xml:space="preserve">la réponse à la question 1 est négative, quelle est la responsabilité juridique </w:t>
      </w:r>
      <w:r w:rsidR="000C4DDE" w:rsidRPr="008C7800">
        <w:rPr>
          <w:rFonts w:ascii="Times New Roman" w:hAnsi="Times New Roman" w:cs="Times New Roman"/>
        </w:rPr>
        <w:t xml:space="preserve">(administrative, fiscale, autre) prévue </w:t>
      </w:r>
      <w:r w:rsidR="00FD0378" w:rsidRPr="008C7800">
        <w:rPr>
          <w:rFonts w:ascii="Times New Roman" w:hAnsi="Times New Roman" w:cs="Times New Roman"/>
        </w:rPr>
        <w:t>pour de tels actes ?</w:t>
      </w:r>
    </w:p>
    <w:p w14:paraId="415D3F05" w14:textId="77777777" w:rsidR="003F603B" w:rsidRPr="008C7800" w:rsidRDefault="003F603B" w:rsidP="00CA1241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6C6C5EA0" w14:textId="16D3056C" w:rsidR="00780E46" w:rsidRDefault="00780E46" w:rsidP="006C567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>1.3. Si la responsabilité pénale et d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 xml:space="preserve">autres types de responsabilité (administrative, fiscale, etc.) </w:t>
      </w:r>
      <w:r w:rsidR="00912C1F" w:rsidRPr="008C7800">
        <w:rPr>
          <w:rFonts w:ascii="Times New Roman" w:hAnsi="Times New Roman" w:cs="Times New Roman"/>
        </w:rPr>
        <w:t xml:space="preserve">peuvent </w:t>
      </w:r>
      <w:r w:rsidRPr="008C7800">
        <w:rPr>
          <w:rFonts w:ascii="Times New Roman" w:hAnsi="Times New Roman" w:cs="Times New Roman"/>
        </w:rPr>
        <w:t>s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 xml:space="preserve">appliquer </w:t>
      </w:r>
      <w:r w:rsidR="00912C1F" w:rsidRPr="008C7800">
        <w:rPr>
          <w:rFonts w:ascii="Times New Roman" w:hAnsi="Times New Roman" w:cs="Times New Roman"/>
        </w:rPr>
        <w:t>à ces actes</w:t>
      </w:r>
      <w:r w:rsidRPr="008C7800">
        <w:rPr>
          <w:rFonts w:ascii="Times New Roman" w:hAnsi="Times New Roman" w:cs="Times New Roman"/>
        </w:rPr>
        <w:t xml:space="preserve">, </w:t>
      </w:r>
      <w:r w:rsidR="001B33B5" w:rsidRPr="008C7800">
        <w:rPr>
          <w:rFonts w:ascii="Times New Roman" w:hAnsi="Times New Roman" w:cs="Times New Roman"/>
        </w:rPr>
        <w:t>quels sont les critères permettant de distinguer l</w:t>
      </w:r>
      <w:r w:rsidR="008C7800" w:rsidRPr="008C7800">
        <w:rPr>
          <w:rFonts w:ascii="Times New Roman" w:hAnsi="Times New Roman" w:cs="Times New Roman"/>
        </w:rPr>
        <w:t>’</w:t>
      </w:r>
      <w:r w:rsidR="00912C1F" w:rsidRPr="008C7800">
        <w:rPr>
          <w:rFonts w:ascii="Times New Roman" w:hAnsi="Times New Roman" w:cs="Times New Roman"/>
        </w:rPr>
        <w:t xml:space="preserve">infraction pénale des infractions moins graves (par exemple, les infractions administratives ou fiscales) </w:t>
      </w:r>
      <w:r w:rsidRPr="008C7800">
        <w:rPr>
          <w:rFonts w:ascii="Times New Roman" w:hAnsi="Times New Roman" w:cs="Times New Roman"/>
        </w:rPr>
        <w:t xml:space="preserve">? 2. Si la responsabilité pénale </w:t>
      </w:r>
      <w:r w:rsidR="00912C1F" w:rsidRPr="008C7800">
        <w:rPr>
          <w:rFonts w:ascii="Times New Roman" w:hAnsi="Times New Roman" w:cs="Times New Roman"/>
        </w:rPr>
        <w:t xml:space="preserve">est prévue </w:t>
      </w:r>
      <w:r w:rsidRPr="008C7800">
        <w:rPr>
          <w:rFonts w:ascii="Times New Roman" w:hAnsi="Times New Roman" w:cs="Times New Roman"/>
        </w:rPr>
        <w:t>dans de tels cas, quels biens sont considérés comme le résultat de 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 xml:space="preserve">acte criminel - tous les revenus tirés des </w:t>
      </w:r>
      <w:r w:rsidR="00912C1F" w:rsidRPr="008C7800">
        <w:rPr>
          <w:rFonts w:ascii="Times New Roman" w:hAnsi="Times New Roman" w:cs="Times New Roman"/>
        </w:rPr>
        <w:t>activités respectives</w:t>
      </w:r>
      <w:r w:rsidRPr="008C7800">
        <w:rPr>
          <w:rFonts w:ascii="Times New Roman" w:hAnsi="Times New Roman" w:cs="Times New Roman"/>
        </w:rPr>
        <w:t xml:space="preserve">, le bénéfice net, les impôts impayés, </w:t>
      </w:r>
      <w:r w:rsidR="00333BE6" w:rsidRPr="008C7800">
        <w:rPr>
          <w:rFonts w:ascii="Times New Roman" w:hAnsi="Times New Roman" w:cs="Times New Roman"/>
        </w:rPr>
        <w:t xml:space="preserve">tout </w:t>
      </w:r>
      <w:r w:rsidRPr="008C7800">
        <w:rPr>
          <w:rFonts w:ascii="Times New Roman" w:hAnsi="Times New Roman" w:cs="Times New Roman"/>
        </w:rPr>
        <w:t>autre actif ?</w:t>
      </w:r>
    </w:p>
    <w:p w14:paraId="13A5277E" w14:textId="77777777" w:rsidR="003F603B" w:rsidRPr="008C7800" w:rsidRDefault="003F603B" w:rsidP="006C567B">
      <w:pPr>
        <w:spacing w:after="0" w:line="276" w:lineRule="auto"/>
        <w:ind w:left="284"/>
        <w:jc w:val="both"/>
        <w:rPr>
          <w:rFonts w:ascii="Times New Roman" w:hAnsi="Times New Roman" w:cs="Times New Roman"/>
        </w:rPr>
      </w:pPr>
    </w:p>
    <w:p w14:paraId="456D6DC4" w14:textId="2EB4C8C0" w:rsidR="006C567B" w:rsidRDefault="006C567B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>2</w:t>
      </w:r>
      <w:r w:rsidR="00780E46" w:rsidRPr="008C7800">
        <w:rPr>
          <w:rFonts w:ascii="Times New Roman" w:hAnsi="Times New Roman" w:cs="Times New Roman"/>
        </w:rPr>
        <w:t xml:space="preserve">. </w:t>
      </w:r>
      <w:r w:rsidRPr="008C7800">
        <w:rPr>
          <w:rFonts w:ascii="Times New Roman" w:hAnsi="Times New Roman" w:cs="Times New Roman"/>
        </w:rPr>
        <w:t>Si la responsabilité pénale est prévue dans de tels cas, quels biens sont considérés comme le résultat de l</w:t>
      </w:r>
      <w:r w:rsidR="008C7800" w:rsidRPr="008C7800">
        <w:rPr>
          <w:rFonts w:ascii="Times New Roman" w:hAnsi="Times New Roman" w:cs="Times New Roman"/>
        </w:rPr>
        <w:t>’</w:t>
      </w:r>
      <w:r w:rsidRPr="008C7800">
        <w:rPr>
          <w:rFonts w:ascii="Times New Roman" w:hAnsi="Times New Roman" w:cs="Times New Roman"/>
        </w:rPr>
        <w:t>acte criminel - tous les revenus tirés des activités respectives, le bénéfice net, les impôts impayés, tout autre actif ?</w:t>
      </w:r>
    </w:p>
    <w:p w14:paraId="7DE9A886" w14:textId="77777777" w:rsidR="003F603B" w:rsidRPr="008C7800" w:rsidRDefault="003F603B" w:rsidP="00CA12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4772474" w14:textId="38B4F0F4" w:rsidR="00780E46" w:rsidRDefault="006C567B" w:rsidP="00CA12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C7800">
        <w:rPr>
          <w:rFonts w:ascii="Times New Roman" w:hAnsi="Times New Roman" w:cs="Times New Roman"/>
        </w:rPr>
        <w:t xml:space="preserve">3. </w:t>
      </w:r>
      <w:r w:rsidR="00780E46" w:rsidRPr="008C7800">
        <w:rPr>
          <w:rFonts w:ascii="Times New Roman" w:hAnsi="Times New Roman" w:cs="Times New Roman"/>
        </w:rPr>
        <w:t xml:space="preserve">La confiscation du </w:t>
      </w:r>
      <w:r w:rsidR="00645860" w:rsidRPr="008C7800">
        <w:rPr>
          <w:rFonts w:ascii="Times New Roman" w:hAnsi="Times New Roman" w:cs="Times New Roman"/>
        </w:rPr>
        <w:t>résultat de l</w:t>
      </w:r>
      <w:r w:rsidR="008C7800" w:rsidRPr="008C7800">
        <w:rPr>
          <w:rFonts w:ascii="Times New Roman" w:hAnsi="Times New Roman" w:cs="Times New Roman"/>
        </w:rPr>
        <w:t>’</w:t>
      </w:r>
      <w:r w:rsidR="00645860" w:rsidRPr="008C7800">
        <w:rPr>
          <w:rFonts w:ascii="Times New Roman" w:hAnsi="Times New Roman" w:cs="Times New Roman"/>
        </w:rPr>
        <w:t xml:space="preserve">acte criminel </w:t>
      </w:r>
      <w:r w:rsidR="00780E46" w:rsidRPr="008C7800">
        <w:rPr>
          <w:rFonts w:ascii="Times New Roman" w:hAnsi="Times New Roman" w:cs="Times New Roman"/>
        </w:rPr>
        <w:t xml:space="preserve">est-elle obligatoire ? </w:t>
      </w:r>
      <w:r w:rsidR="00CF1A40" w:rsidRPr="008C7800">
        <w:rPr>
          <w:rFonts w:ascii="Times New Roman" w:hAnsi="Times New Roman" w:cs="Times New Roman"/>
        </w:rPr>
        <w:t xml:space="preserve">Quels sont les critères appliqués pour décider de la confiscation </w:t>
      </w:r>
      <w:r w:rsidR="004708F8" w:rsidRPr="008C7800">
        <w:rPr>
          <w:rFonts w:ascii="Times New Roman" w:hAnsi="Times New Roman" w:cs="Times New Roman"/>
        </w:rPr>
        <w:t>du résultat de l</w:t>
      </w:r>
      <w:r w:rsidR="003F603B">
        <w:rPr>
          <w:rFonts w:ascii="Times New Roman" w:hAnsi="Times New Roman" w:cs="Times New Roman"/>
        </w:rPr>
        <w:t>’</w:t>
      </w:r>
      <w:r w:rsidR="004708F8" w:rsidRPr="008C7800">
        <w:rPr>
          <w:rFonts w:ascii="Times New Roman" w:hAnsi="Times New Roman" w:cs="Times New Roman"/>
        </w:rPr>
        <w:t xml:space="preserve">acte criminel </w:t>
      </w:r>
      <w:r w:rsidR="00CF1A40" w:rsidRPr="008C7800">
        <w:rPr>
          <w:rFonts w:ascii="Times New Roman" w:hAnsi="Times New Roman" w:cs="Times New Roman"/>
        </w:rPr>
        <w:t>? Le principe de proportionnalité est-il pertinent dans ce contexte ? (dans l</w:t>
      </w:r>
      <w:r w:rsidR="008C7800" w:rsidRPr="008C7800">
        <w:rPr>
          <w:rFonts w:ascii="Times New Roman" w:hAnsi="Times New Roman" w:cs="Times New Roman"/>
        </w:rPr>
        <w:t>’</w:t>
      </w:r>
      <w:r w:rsidR="00CF1A40" w:rsidRPr="008C7800">
        <w:rPr>
          <w:rFonts w:ascii="Times New Roman" w:hAnsi="Times New Roman" w:cs="Times New Roman"/>
        </w:rPr>
        <w:t>affirmative, veuillez fournir des exemples de jurisprudence si possible).</w:t>
      </w:r>
    </w:p>
    <w:sectPr w:rsidR="00780E46" w:rsidSect="006C567B">
      <w:headerReference w:type="default" r:id="rId7"/>
      <w:pgSz w:w="12240" w:h="15840"/>
      <w:pgMar w:top="1440" w:right="61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B5FE7" w14:textId="77777777" w:rsidR="00147B9D" w:rsidRPr="008C7800" w:rsidRDefault="00147B9D" w:rsidP="00780E46">
      <w:pPr>
        <w:spacing w:after="0" w:line="240" w:lineRule="auto"/>
      </w:pPr>
      <w:r w:rsidRPr="008C7800">
        <w:separator/>
      </w:r>
    </w:p>
  </w:endnote>
  <w:endnote w:type="continuationSeparator" w:id="0">
    <w:p w14:paraId="121F7B02" w14:textId="77777777" w:rsidR="00147B9D" w:rsidRPr="008C7800" w:rsidRDefault="00147B9D" w:rsidP="00780E46">
      <w:pPr>
        <w:spacing w:after="0" w:line="240" w:lineRule="auto"/>
      </w:pPr>
      <w:r w:rsidRPr="008C780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B2828" w14:textId="77777777" w:rsidR="00147B9D" w:rsidRPr="008C7800" w:rsidRDefault="00147B9D" w:rsidP="00780E46">
      <w:pPr>
        <w:spacing w:after="0" w:line="240" w:lineRule="auto"/>
      </w:pPr>
      <w:r w:rsidRPr="008C7800">
        <w:separator/>
      </w:r>
    </w:p>
  </w:footnote>
  <w:footnote w:type="continuationSeparator" w:id="0">
    <w:p w14:paraId="43CC5C44" w14:textId="77777777" w:rsidR="00147B9D" w:rsidRPr="008C7800" w:rsidRDefault="00147B9D" w:rsidP="00780E46">
      <w:pPr>
        <w:spacing w:after="0" w:line="240" w:lineRule="auto"/>
      </w:pPr>
      <w:r w:rsidRPr="008C7800">
        <w:continuationSeparator/>
      </w:r>
    </w:p>
  </w:footnote>
  <w:footnote w:id="1">
    <w:p w14:paraId="2309B770" w14:textId="2125269C" w:rsidR="00BE3008" w:rsidRPr="008C7800" w:rsidRDefault="00BE3008">
      <w:pPr>
        <w:pStyle w:val="FootnoteText"/>
      </w:pPr>
      <w:r w:rsidRPr="008C7800">
        <w:rPr>
          <w:rStyle w:val="FootnoteReference"/>
        </w:rPr>
        <w:footnoteRef/>
      </w:r>
      <w:r w:rsidRPr="008C7800">
        <w:t xml:space="preserve">  Traduction en anglais du Code pénal : </w:t>
      </w:r>
      <w:hyperlink r:id="rId1" w:history="1">
        <w:r w:rsidRPr="008C7800">
          <w:rPr>
            <w:rStyle w:val="Hyperlink"/>
          </w:rPr>
          <w:t>VIII-1968 République de Lituanie Loi sur l</w:t>
        </w:r>
        <w:r w:rsidR="008C7800" w:rsidRPr="008C7800">
          <w:rPr>
            <w:rStyle w:val="Hyperlink"/>
          </w:rPr>
          <w:t>’</w:t>
        </w:r>
        <w:r w:rsidRPr="008C7800">
          <w:rPr>
            <w:rStyle w:val="Hyperlink"/>
          </w:rPr>
          <w:t>approbation et l</w:t>
        </w:r>
        <w:r w:rsidR="008C7800" w:rsidRPr="008C7800">
          <w:rPr>
            <w:rStyle w:val="Hyperlink"/>
          </w:rPr>
          <w:t>’</w:t>
        </w:r>
        <w:r w:rsidRPr="008C7800">
          <w:rPr>
            <w:rStyle w:val="Hyperlink"/>
          </w:rPr>
          <w:t xml:space="preserve">entrée en vigueur du Code pénal.  pénal </w:t>
        </w:r>
      </w:hyperlink>
    </w:p>
  </w:footnote>
  <w:footnote w:id="2">
    <w:p w14:paraId="46CF0194" w14:textId="77777777" w:rsidR="00645860" w:rsidRPr="00E37F07" w:rsidRDefault="00645860" w:rsidP="00645860">
      <w:pPr>
        <w:pStyle w:val="FootnoteText"/>
        <w:rPr>
          <w:lang w:val="lt-LT"/>
        </w:rPr>
      </w:pPr>
      <w:r w:rsidRPr="008C7800">
        <w:rPr>
          <w:rStyle w:val="FootnoteReference"/>
        </w:rPr>
        <w:footnoteRef/>
      </w:r>
      <w:r w:rsidRPr="008C7800">
        <w:t xml:space="preserve"> Les revenus (recettes) ou les revenus (recettes) des douze derniers mois dépassent 25 000 euros</w:t>
      </w:r>
      <w:r w:rsidR="00034097" w:rsidRPr="008C780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647476"/>
      <w:docPartObj>
        <w:docPartGallery w:val="Page Numbers (Top of Page)"/>
        <w:docPartUnique/>
      </w:docPartObj>
    </w:sdtPr>
    <w:sdtContent>
      <w:p w14:paraId="586BDB76" w14:textId="6F463280" w:rsidR="006C567B" w:rsidRPr="008C7800" w:rsidRDefault="006C567B">
        <w:pPr>
          <w:pStyle w:val="Header"/>
          <w:jc w:val="center"/>
        </w:pPr>
        <w:r w:rsidRPr="008C7800">
          <w:fldChar w:fldCharType="begin"/>
        </w:r>
        <w:r w:rsidRPr="008C7800">
          <w:instrText>PAGE   \* MERGEFORMAT</w:instrText>
        </w:r>
        <w:r w:rsidRPr="008C7800">
          <w:fldChar w:fldCharType="separate"/>
        </w:r>
        <w:r w:rsidRPr="008C7800">
          <w:t>2</w:t>
        </w:r>
        <w:r w:rsidRPr="008C7800">
          <w:fldChar w:fldCharType="end"/>
        </w:r>
      </w:p>
    </w:sdtContent>
  </w:sdt>
  <w:p w14:paraId="538D5D85" w14:textId="77777777" w:rsidR="006C567B" w:rsidRPr="008C7800" w:rsidRDefault="006C56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46"/>
    <w:rsid w:val="000203ED"/>
    <w:rsid w:val="00030DD7"/>
    <w:rsid w:val="00034097"/>
    <w:rsid w:val="00042015"/>
    <w:rsid w:val="00060B65"/>
    <w:rsid w:val="0007798F"/>
    <w:rsid w:val="000C4DDE"/>
    <w:rsid w:val="000D5541"/>
    <w:rsid w:val="00147B9D"/>
    <w:rsid w:val="0015751A"/>
    <w:rsid w:val="00184B9F"/>
    <w:rsid w:val="001B33B5"/>
    <w:rsid w:val="001D2B47"/>
    <w:rsid w:val="0021334F"/>
    <w:rsid w:val="00273AA4"/>
    <w:rsid w:val="002A2C40"/>
    <w:rsid w:val="002D037A"/>
    <w:rsid w:val="00322607"/>
    <w:rsid w:val="00333BE6"/>
    <w:rsid w:val="003F603B"/>
    <w:rsid w:val="004708F8"/>
    <w:rsid w:val="004A215C"/>
    <w:rsid w:val="004A5CD5"/>
    <w:rsid w:val="004F733D"/>
    <w:rsid w:val="00526E10"/>
    <w:rsid w:val="00545BA8"/>
    <w:rsid w:val="005845AB"/>
    <w:rsid w:val="005C4B64"/>
    <w:rsid w:val="00645860"/>
    <w:rsid w:val="006C567B"/>
    <w:rsid w:val="00777815"/>
    <w:rsid w:val="00780E46"/>
    <w:rsid w:val="0079306A"/>
    <w:rsid w:val="008550A3"/>
    <w:rsid w:val="00857DD2"/>
    <w:rsid w:val="008C7800"/>
    <w:rsid w:val="00907411"/>
    <w:rsid w:val="00912C1F"/>
    <w:rsid w:val="009A2157"/>
    <w:rsid w:val="009A7F2E"/>
    <w:rsid w:val="009D164C"/>
    <w:rsid w:val="009D7586"/>
    <w:rsid w:val="00A4643C"/>
    <w:rsid w:val="00AB1A63"/>
    <w:rsid w:val="00BE3008"/>
    <w:rsid w:val="00BF20BA"/>
    <w:rsid w:val="00CA1241"/>
    <w:rsid w:val="00CD420C"/>
    <w:rsid w:val="00CE2112"/>
    <w:rsid w:val="00CF1A40"/>
    <w:rsid w:val="00D21D08"/>
    <w:rsid w:val="00D4310B"/>
    <w:rsid w:val="00DB2378"/>
    <w:rsid w:val="00DF3552"/>
    <w:rsid w:val="00E02CE2"/>
    <w:rsid w:val="00E5327F"/>
    <w:rsid w:val="00E63E97"/>
    <w:rsid w:val="00EC18CA"/>
    <w:rsid w:val="00EE2A2C"/>
    <w:rsid w:val="00EF67B1"/>
    <w:rsid w:val="00F12A93"/>
    <w:rsid w:val="00F1510B"/>
    <w:rsid w:val="00F64367"/>
    <w:rsid w:val="00F67AB3"/>
    <w:rsid w:val="00F94A3D"/>
    <w:rsid w:val="00FD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CAA9F"/>
  <w15:chartTrackingRefBased/>
  <w15:docId w15:val="{69D80C5F-6F07-4DE9-BD0D-43501FD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46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E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E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0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0E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E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0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E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E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E46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E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0E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E46"/>
    <w:rPr>
      <w:vertAlign w:val="superscript"/>
    </w:rPr>
  </w:style>
  <w:style w:type="paragraph" w:styleId="Revision">
    <w:name w:val="Revision"/>
    <w:hidden/>
    <w:uiPriority w:val="99"/>
    <w:semiHidden/>
    <w:rsid w:val="00EE2A2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2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2A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2A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A2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E3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09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67B"/>
  </w:style>
  <w:style w:type="paragraph" w:styleId="Footer">
    <w:name w:val="footer"/>
    <w:basedOn w:val="Normal"/>
    <w:link w:val="FooterChar"/>
    <w:uiPriority w:val="99"/>
    <w:unhideWhenUsed/>
    <w:rsid w:val="006C5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seimas.lrs.lt/portal/legalAct/lt/TAD/28b18041843311e89188e16a6495e98c?jfwid=oj3ecp01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F4925-FD2E-4746-AE0E-11D6601F6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Audinga Bogdankienė</dc:creator>
  <cp:keywords>, docId:82F2197F5844CF6E67D8AEB7AEB3F323</cp:keywords>
  <dc:description/>
  <cp:lastModifiedBy>Liis Lindström</cp:lastModifiedBy>
  <cp:revision>5</cp:revision>
  <dcterms:created xsi:type="dcterms:W3CDTF">2025-04-04T08:41:00Z</dcterms:created>
  <dcterms:modified xsi:type="dcterms:W3CDTF">2025-04-04T08:43:00Z</dcterms:modified>
</cp:coreProperties>
</file>